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VOR-ORL-XT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max 800m, IP66, Wandmontage,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800 m kaskadierbar</w:t>
      </w:r>
    </w:p>
    <w:p>
      <w:pPr>
        <w:pStyle w:val="p2Style"/>
      </w:pPr>
      <w:r>
        <w:rPr>
          <w:rStyle w:val="textStyle"/>
        </w:rPr>
        <w:t xml:space="preserve">Für den Außeneinsatz geeignet</w:t>
      </w:r>
    </w:p>
    <w:p>
      <w:pPr>
        <w:pStyle w:val="p2Style"/>
      </w:pPr>
      <w:r>
        <w:rPr>
          <w:rStyle w:val="textStyle"/>
        </w:rPr>
        <w:t xml:space="preserve">Betriebstemperatur: -40°C bis +60°C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textStyle"/>
        </w:rPr>
        <w:t xml:space="preserve">Wandhalterung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VOR-ORL-XT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2026-10-23T22:58:10+00:00</dcterms:created>
  <dcterms:modified xsi:type="dcterms:W3CDTF">2026-10-23T22:58:10+00:00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