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216785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POC252-1CXP-1T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Unmanaged, 1x RJ45, 1x BNC, PoC, 56VDC, Switch-Ende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Überträgt Ethernet und Power over Coax</w:t>
      </w:r>
    </w:p>
    <w:p>
      <w:pPr>
        <w:pStyle w:val="p2Style"/>
      </w:pPr>
      <w:r>
        <w:rPr>
          <w:rStyle w:val="textStyle"/>
        </w:rPr>
        <w:t xml:space="preserve">Datenformat: 10/100Mbps Ethernet</w:t>
      </w:r>
    </w:p>
    <w:p>
      <w:pPr>
        <w:pStyle w:val="p2Style"/>
      </w:pPr>
      <w:r>
        <w:rPr>
          <w:rStyle w:val="textStyle"/>
        </w:rPr>
        <w:t xml:space="preserve">Reichweite bis zu 1200m (Daten)</w:t>
      </w:r>
    </w:p>
    <w:p>
      <w:pPr>
        <w:pStyle w:val="p2Style"/>
      </w:pPr>
      <w:r>
        <w:rPr>
          <w:rStyle w:val="textStyle"/>
        </w:rPr>
        <w:t xml:space="preserve">Reichweite bis zu 600m (PoE)</w:t>
      </w:r>
    </w:p>
    <w:p>
      <w:pPr>
        <w:pStyle w:val="p2Style"/>
      </w:pPr>
      <w:r>
        <w:rPr>
          <w:rStyle w:val="textStyle"/>
        </w:rPr>
        <w:t xml:space="preserve">Plug and Play Installation</w:t>
      </w:r>
    </w:p>
    <w:p>
      <w:pPr>
        <w:pStyle w:val="p2Style"/>
      </w:pPr>
      <w:r>
        <w:rPr>
          <w:rStyle w:val="textStyle"/>
        </w:rPr>
        <w:t xml:space="preserve">Gegenstück zu POC252-1CX-1P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POC252-1CXP-1T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POC252-1CX-1P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Unmanaged, 1x RJ45, 1x BNC, PoC, Kamera-Ende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2026-05-10T20:39:04+00:00</dcterms:created>
  <dcterms:modified xsi:type="dcterms:W3CDTF">2026-05-10T20:39:04+00:00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