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HIGHWIRE, Ethernet over coax device, Plug&amp;Play,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über Koaxialkabel</w:t>
      </w:r>
    </w:p>
    <w:p>
      <w:pPr>
        <w:pStyle w:val="p2Style"/>
      </w:pPr>
      <w:r>
        <w:rPr>
          <w:rStyle w:val="textStyle"/>
        </w:rPr>
        <w:t xml:space="preserve">Bis zu 500m über RG11 Kabel</w:t>
      </w:r>
    </w:p>
    <w:p>
      <w:pPr>
        <w:pStyle w:val="p2Style"/>
      </w:pPr>
      <w:r>
        <w:rPr>
          <w:rStyle w:val="textStyle"/>
        </w:rPr>
        <w:t xml:space="preserve">Bis zu 280m über RG59 Kabel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Wand- oder Desktopmontage</w:t>
      </w:r>
    </w:p>
    <w:p>
      <w:pPr>
        <w:pStyle w:val="p2Style"/>
      </w:pPr>
      <w:r>
        <w:rPr>
          <w:rStyle w:val="textStyle"/>
        </w:rPr>
        <w:t xml:space="preserve">2 Stück notwendig für Anfang/Ende des Kabels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2026-09-11T10:23:20+00:00</dcterms:created>
  <dcterms:modified xsi:type="dcterms:W3CDTF">2026-09-11T10:23:20+00:00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