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HIGHWIRE, Ethernet over coax device,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über Koaxialkabel</w:t>
      </w:r>
    </w:p>
    <w:p>
      <w:pPr>
        <w:pStyle w:val="p2Style"/>
      </w:pPr>
      <w:r>
        <w:rPr>
          <w:rStyle w:val="textStyle"/>
        </w:rPr>
        <w:t xml:space="preserve">Bis zu 500m über RG11 Kabel</w:t>
      </w:r>
    </w:p>
    <w:p>
      <w:pPr>
        <w:pStyle w:val="p2Style"/>
      </w:pPr>
      <w:r>
        <w:rPr>
          <w:rStyle w:val="textStyle"/>
        </w:rPr>
        <w:t xml:space="preserve">Bis zu 280m über RG59 Kabel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textStyle"/>
        </w:rPr>
        <w:t xml:space="preserve">2 Stück notwendig für Anfang/Ende des 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2026-10-26T11:55:54+00:00</dcterms:created>
  <dcterms:modified xsi:type="dcterms:W3CDTF">2026-10-26T11:55:54+00:00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