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EL1500CWS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500m, IP65,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500m über Koax-Kabel oder UTP</w:t>
      </w:r>
    </w:p>
    <w:p>
      <w:pPr>
        <w:pStyle w:val="p2Style"/>
      </w:pPr>
      <w:r>
        <w:rPr>
          <w:rStyle w:val="textStyle"/>
        </w:rPr>
        <w:t xml:space="preserve">Nach IP65 geschützt</w:t>
      </w:r>
    </w:p>
    <w:p>
      <w:pPr>
        <w:pStyle w:val="p2Style"/>
      </w:pPr>
      <w:r>
        <w:rPr>
          <w:rStyle w:val="textStyle"/>
        </w:rPr>
        <w:t xml:space="preserve">Inklusive Überspannungsschutz IPCOAX1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Statusanzeigen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EL1500CWS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2026-10-20T12:21:48+00:00</dcterms:created>
  <dcterms:modified xsi:type="dcterms:W3CDTF">2026-10-20T12:21:48+00:00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