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IP65,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500m über Koax-Kabel oder UTP</w:t>
      </w:r>
    </w:p>
    <w:p>
      <w:pPr>
        <w:pStyle w:val="p2Style"/>
      </w:pPr>
      <w:r>
        <w:rPr>
          <w:rStyle w:val="textStyle"/>
        </w:rPr>
        <w:t xml:space="preserve">Nach IP65 geschützt</w:t>
      </w:r>
    </w:p>
    <w:p>
      <w:pPr>
        <w:pStyle w:val="p2Style"/>
      </w:pPr>
      <w:r>
        <w:rPr>
          <w:rStyle w:val="textStyle"/>
        </w:rPr>
        <w:t xml:space="preserve">Inklusive Überspannungsschutz IPCOAX1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Statusanzeigen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