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VAR2-VLK-HY6-2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Hybrid, IR 850nm und Weißlicht, für 2 Kameras,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zwei Kameras</w:t>
      </w:r>
    </w:p>
    <w:p>
      <w:pPr>
        <w:pStyle w:val="p2Style"/>
      </w:pPr>
      <w:r>
        <w:rPr>
          <w:rStyle w:val="textStyle"/>
        </w:rPr>
        <w:t xml:space="preserve">Zwei integrierte Hybrid-Scheinwerfer</w:t>
      </w:r>
    </w:p>
    <w:p>
      <w:pPr>
        <w:pStyle w:val="p2Style"/>
      </w:pPr>
      <w:r>
        <w:rPr>
          <w:rStyle w:val="textStyle"/>
        </w:rPr>
        <w:t xml:space="preserve">Spektrale Emission 850nm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Verdeckte Kabelführung, vorverkabelt</w:t>
      </w:r>
    </w:p>
    <w:p>
      <w:pPr>
        <w:pStyle w:val="p2Style"/>
      </w:pPr>
      <w:r>
        <w:rPr>
          <w:rStyle w:val="textStyle"/>
        </w:rPr>
        <w:t xml:space="preserve">für Analog, IP, Kennzeichenerkennung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15-24VAC, 15-24VDC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VAR2-VLK-HY6-2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2026-09-20T15:01:59+00:00</dcterms:created>
  <dcterms:modified xsi:type="dcterms:W3CDTF">2026-09-20T15:01:59+00:00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