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16 Ports, Gigabit, PoE+, Erweiterung um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Netzwerk-Extender</w:t>
      </w:r>
    </w:p>
    <w:p>
      <w:pPr>
        <w:pStyle w:val="p2Style"/>
      </w:pPr>
      <w:r>
        <w:rPr>
          <w:rStyle w:val="textStyle"/>
        </w:rPr>
        <w:t xml:space="preserve">Gigabit PoE Switch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Eingebaute Stromquelle für alle angeschlossenen Geräte</w:t>
      </w:r>
    </w:p>
    <w:p>
      <w:pPr>
        <w:pStyle w:val="p2Style"/>
      </w:pPr>
      <w:r>
        <w:rPr>
          <w:rStyle w:val="textStyle"/>
        </w:rPr>
        <w:t xml:space="preserve">Remote-Zugriff, IP-Übertragung über Coax-Kabel bis 500m</w:t>
      </w:r>
    </w:p>
    <w:p>
      <w:pPr>
        <w:pStyle w:val="p2Style"/>
      </w:pPr>
      <w:r>
        <w:rPr>
          <w:rStyle w:val="textStyle"/>
        </w:rPr>
        <w:t xml:space="preserve">Rack-Mount-Modul</w:t>
      </w:r>
    </w:p>
    <w:p>
      <w:pPr>
        <w:pStyle w:val="p2Style"/>
      </w:pPr>
      <w:r>
        <w:rPr>
          <w:rStyle w:val="textStyle"/>
        </w:rPr>
        <w:t xml:space="preserve">Kurzschluss- und Überlastschutz</w:t>
      </w:r>
    </w:p>
    <w:p>
      <w:pPr>
        <w:pStyle w:val="p2Style"/>
      </w:pPr>
      <w:r>
        <w:rPr>
          <w:rStyle w:val="textStyle"/>
        </w:rPr>
        <w:t xml:space="preserve">Eingebauter Ethernet, PoE Überspannungsschutz</w:t>
      </w:r>
    </w:p>
    <w:p>
      <w:pPr>
        <w:pStyle w:val="p2Style"/>
      </w:pPr>
      <w:r>
        <w:rPr>
          <w:rStyle w:val="textStyle"/>
        </w:rPr>
        <w:t xml:space="preserve">Eingangsspannung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2026-05-11T19:56:59+00:00</dcterms:created>
  <dcterms:modified xsi:type="dcterms:W3CDTF">2026-05-11T19:56:59+00:00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