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CLFE4+1SMSPOEC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1x Coax,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Programmierung erforderlich</w:t>
      </w:r>
    </w:p>
    <w:p>
      <w:pPr>
        <w:pStyle w:val="p2Style"/>
      </w:pPr>
      <w:r>
        <w:rPr>
          <w:rStyle w:val="textStyle"/>
        </w:rPr>
        <w:t xml:space="preserve">Uplink-Port vorprogrammiert</w:t>
      </w:r>
    </w:p>
    <w:p>
      <w:pPr>
        <w:pStyle w:val="p2Style"/>
      </w:pPr>
      <w:r>
        <w:rPr>
          <w:rStyle w:val="textStyle"/>
        </w:rPr>
        <w:t xml:space="preserve">Rack-Module hot-swappable</w:t>
      </w:r>
    </w:p>
    <w:p>
      <w:pPr>
        <w:pStyle w:val="p2Style"/>
      </w:pPr>
      <w:r>
        <w:rPr>
          <w:rStyle w:val="textStyle"/>
        </w:rPr>
        <w:t xml:space="preserve">Standalone oder Rackeinbau möglich</w:t>
      </w:r>
    </w:p>
    <w:p>
      <w:pPr>
        <w:pStyle w:val="p2Style"/>
      </w:pPr>
      <w:r>
        <w:rPr>
          <w:rStyle w:val="textStyle"/>
        </w:rPr>
        <w:t xml:space="preserve">DIN-Rail-Montage Zubehör optional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Koax/BNC, 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CLFE4+1SMSPOEC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