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CNGE2FE4SMSPOE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Self Managed, 4xRJ45 100Mbps, 2xSFP 1000Mbps,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PoE IEEE802.3at</w:t>
      </w:r>
    </w:p>
    <w:p>
      <w:pPr>
        <w:pStyle w:val="p2Style"/>
      </w:pPr>
      <w:r>
        <w:rPr>
          <w:rStyle w:val="textStyle"/>
        </w:rPr>
        <w:t xml:space="preserve">Sperrung der internen Kommunikation durch Dip-Switch</w:t>
      </w:r>
    </w:p>
    <w:p>
      <w:pPr>
        <w:pStyle w:val="p2Style"/>
      </w:pPr>
      <w:r>
        <w:rPr>
          <w:rStyle w:val="textStyle"/>
        </w:rPr>
        <w:t xml:space="preserve">Bei Rack-Montage Hot-swappablefähig</w:t>
      </w:r>
    </w:p>
    <w:p>
      <w:pPr>
        <w:pStyle w:val="p2Style"/>
      </w:pPr>
      <w:r>
        <w:rPr>
          <w:rStyle w:val="textStyle"/>
        </w:rPr>
        <w:t xml:space="preserve">Stromversorgung: 12-48 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1GBit SFP, 4x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CNGE2FE4SMSPOE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2026-06-05T20:28:46+00:00</dcterms:created>
  <dcterms:modified xsi:type="dcterms:W3CDTF">2026-06-05T20:28:46+00:00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