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CNGE2FE4SMSPOEHO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Self Managed, 4xRJ45 100Mbps, 2xSFP 1000Mbps, PoE+ bis 60W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IEEE802.3at</w:t>
      </w:r>
    </w:p>
    <w:p>
      <w:pPr>
        <w:pStyle w:val="p2Style"/>
      </w:pPr>
      <w:r>
        <w:rPr>
          <w:rStyle w:val="textStyle"/>
        </w:rPr>
        <w:t xml:space="preserve">High PoE Ausgangsleistung bis 60W (Port 3+4)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Bei Rack-Montage Hot-swappablefähig</w:t>
      </w:r>
    </w:p>
    <w:p>
      <w:pPr>
        <w:pStyle w:val="p2Style"/>
      </w:pPr>
      <w:r>
        <w:rPr>
          <w:rStyle w:val="textStyle"/>
        </w:rPr>
        <w:t xml:space="preserve">Stromversorgung: 12-48 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TS-1/TS-2 &amp; Caltrans Spezifikationen,FDA Laserprodukt-Standard,IPC Standard für Leiterplatten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100/1000Base-T SFP, 4x 10/100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CNGE2FE4SMSPOEHO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2026-09-04T13:38:08+00:00</dcterms:created>
  <dcterms:modified xsi:type="dcterms:W3CDTF">2026-09-04T13:38:08+00:00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