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48x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L3 Managementfunktionen</w:t>
      </w:r>
    </w:p>
    <w:p>
      <w:pPr>
        <w:pStyle w:val="p2Style"/>
      </w:pPr>
      <w:r>
        <w:rPr>
          <w:rStyle w:val="textStyle"/>
        </w:rPr>
        <w:t xml:space="preserve">Gemischtes 1GBit 10GBit Stacking möglich</w:t>
      </w:r>
    </w:p>
    <w:p>
      <w:pPr>
        <w:pStyle w:val="p2Style"/>
      </w:pPr>
      <w:r>
        <w:rPr>
          <w:rStyle w:val="textStyle"/>
        </w:rPr>
        <w:t xml:space="preserve">PoE Gesamtbudget von 480 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