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PSTR-I32-HV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Infrarot-Scheinwerfer, pulsed, 30W, bis 295W, 850nm, 32 LEDs, variable Linse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10x10, 20x10 und 35x10 im Lieferumfang</w:t>
      </w:r>
    </w:p>
    <w:p>
      <w:pPr>
        <w:pStyle w:val="p2Style"/>
      </w:pPr>
      <w:r>
        <w:rPr>
          <w:rStyle w:val="textStyle"/>
        </w:rPr>
        <w:t xml:space="preserve">Zur Nutzung der Pulse-Funktion ist eine</w:t>
      </w:r>
    </w:p>
    <w:p>
      <w:pPr>
        <w:pStyle w:val="p2Style"/>
      </w:pPr>
      <w:r>
        <w:rPr>
          <w:rStyle w:val="textStyle"/>
        </w:rPr>
        <w:t xml:space="preserve">Kamera mit Strobe-Ausgang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20x10°, 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120-230VAC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PSTR-I32-HV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PulseStar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2026-07-28T15:54:43+00:00</dcterms:created>
  <dcterms:modified xsi:type="dcterms:W3CDTF">2026-07-28T15:54:43+00:00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