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VAR2-IPPOE-I4-1-C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25W 940nm, 10x10, 35x10, 60x25, IP66, 24V, PoE, IP-Steuerung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IP-Steuerung ber Web-Interface oder API</w:t>
      </w:r>
    </w:p>
    <w:p>
      <w:pPr>
        <w:pStyle w:val="p2Style"/>
      </w:pPr>
      <w:r>
        <w:rPr>
          <w:rStyle w:val="textStyle"/>
        </w:rPr>
        <w:t xml:space="preserve">Stromversorgung: 24VDC oder PoE+</w:t>
      </w:r>
    </w:p>
    <w:p>
      <w:pPr>
        <w:pStyle w:val="p2Style"/>
      </w:pPr>
      <w:r>
        <w:rPr>
          <w:rStyle w:val="textStyle"/>
        </w:rPr>
        <w:t xml:space="preserve">Spektrale Emission 940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Schutzart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5055877501254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VAR2-IPPOE-I4-1-C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I2/W2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2026-09-23T00:21:47+00:00</dcterms:created>
  <dcterms:modified xsi:type="dcterms:W3CDTF">2026-09-23T00:21:47+00:00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