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VAR2-IPPOE-I4-1-C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25W 940nm, 10x10, 35x10, 60x25, IP66, 24V, PoE, IP-Steuerung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IP-Steuerung ber Web-Interface oder API</w:t>
      </w:r>
    </w:p>
    <w:p>
      <w:pPr>
        <w:pStyle w:val="p2Style"/>
      </w:pPr>
      <w:r>
        <w:rPr>
          <w:rStyle w:val="textStyle"/>
        </w:rPr>
        <w:t xml:space="preserve">Stromversorgung: 24VDC oder PoE+</w:t>
      </w:r>
    </w:p>
    <w:p>
      <w:pPr>
        <w:pStyle w:val="p2Style"/>
      </w:pPr>
      <w:r>
        <w:rPr>
          <w:rStyle w:val="textStyle"/>
        </w:rPr>
        <w:t xml:space="preserve">Spektrale Emission 940 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Vandalismusgeschützt, Schutzart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12~24V,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5055877501254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VAR2-IPPOE-I4-1-C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VAR-I4-LENS-12050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i4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VAR-I4-LENS-8030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i4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I2/W2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I4/W4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2026-11-07T03:08:58+00:00</dcterms:created>
  <dcterms:modified xsi:type="dcterms:W3CDTF">2026-11-07T03:08:58+00:00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