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VAR2-IPPOE-I6-1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25W 850nm, 10x10, 35x10, 60x25, IP66, 24V,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IP-Steuerung ber Web-Interface oder API</w:t>
      </w:r>
    </w:p>
    <w:p>
      <w:pPr>
        <w:pStyle w:val="p2Style"/>
      </w:pPr>
      <w:r>
        <w:rPr>
          <w:rStyle w:val="textStyle"/>
        </w:rPr>
        <w:t xml:space="preserve">Stromversorgung: 24VDC oder PoE+</w:t>
      </w:r>
    </w:p>
    <w:p>
      <w:pPr>
        <w:pStyle w:val="p2Style"/>
      </w:pPr>
      <w:r>
        <w:rPr>
          <w:rStyle w:val="textStyle"/>
        </w:rPr>
        <w:t xml:space="preserve">Spektrale Emission 850nm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Schutzart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5055877501261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VAR2-IPPOE-I6-1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2026-07-15T01:41:24+00:00</dcterms:created>
  <dcterms:modified xsi:type="dcterms:W3CDTF">2026-07-15T01:41:24+00:00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