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WAVE-IO-01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I/O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IP I/O Module Lizenz</w:t>
      </w:r>
    </w:p>
    <w:p>
      <w:pPr>
        <w:pStyle w:val="p2Style"/>
      </w:pPr>
      <w:r>
        <w:rPr>
          <w:rStyle w:val="textStyle"/>
        </w:rPr>
        <w:t xml:space="preserve">Erlaubt die Einbindung eines I/O Device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WAVE-IO-01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