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WAVE-IO-01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I/O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IP I/O Module Lizenz</w:t>
      </w:r>
    </w:p>
    <w:p>
      <w:pPr>
        <w:pStyle w:val="p2Style"/>
      </w:pPr>
      <w:r>
        <w:rPr>
          <w:rStyle w:val="textStyle"/>
        </w:rPr>
        <w:t xml:space="preserve">Erlaubt die Einbindung eines I/O Device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WAVE-IO-01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2026-09-23T12:46:00+00:00</dcterms:created>
  <dcterms:modified xsi:type="dcterms:W3CDTF">2026-09-23T12:46:00+00:00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