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10 UNIVERSAL DEVICE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Version 5.x Universal Device, 10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10 Kanal Universal Device Lizenz, &gt;32 Axis Devices im System</w:t>
      </w:r>
    </w:p>
    <w:p>
      <w:pPr>
        <w:pStyle w:val="p2Style"/>
      </w:pPr>
      <w:r>
        <w:rPr>
          <w:rStyle w:val="textStyle"/>
        </w:rPr>
        <w:t xml:space="preserve">3rd Party Produkte gemäß IEC62676-2-3 Standard integrierbar</w:t>
      </w:r>
    </w:p>
    <w:p>
      <w:pPr>
        <w:pStyle w:val="p2Style"/>
      </w:pPr>
      <w:r>
        <w:rPr>
          <w:rStyle w:val="textStyle"/>
        </w:rPr>
        <w:t xml:space="preserve">Ohne Datenträger, Lieferung als Lizenzcode-Brief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0879-110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2026-05-16T03:26:33+00:00</dcterms:created>
  <dcterms:modified xsi:type="dcterms:W3CDTF">2026-05-16T03:26:33+00:00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