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20 UNIVERSAL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Universal Device, 20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20 Kanal Universal Device Lizenz, &gt;32 Axis Devices im System</w:t>
      </w:r>
    </w:p>
    <w:p>
      <w:pPr>
        <w:pStyle w:val="p2Style"/>
      </w:pPr>
      <w:r>
        <w:rPr>
          <w:rStyle w:val="textStyle"/>
        </w:rPr>
        <w:t xml:space="preserve">3rd Party Produkte gemäß IEC62676-2-3 Standard integrierbar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2026-08-14T08:46:39+00:00</dcterms:created>
  <dcterms:modified xsi:type="dcterms:W3CDTF">2026-08-14T08:46:39+00:00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