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XND-8080R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2560x1920, H.265, 3,9-9,4mm, Infrarot, IK08,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Auflösung 2560x1920@30fps (H.264/H.265)</w:t>
      </w:r>
    </w:p>
    <w:p>
      <w:pPr>
        <w:pStyle w:val="p2Style"/>
      </w:pPr>
      <w:r>
        <w:rPr>
          <w:rStyle w:val="textStyle"/>
        </w:rPr>
        <w:t xml:space="preserve">Motorisiertes 3,9-9,4mm Varifokal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0,9Lux (F1,3,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</w:t>
      </w:r>
    </w:p>
    <w:p>
      <w:pPr>
        <w:pStyle w:val="p2Style"/>
      </w:pPr>
      <w:r>
        <w:rPr>
          <w:rStyle w:val="textStyle"/>
        </w:rPr>
        <w:t xml:space="preserve">Für Innenanwendung, Kunststoffgehäuse,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0,9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92,1 - 38,7°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3,9 - 9,4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8801089091635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XND-8080R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SHD-1408FW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SHD-3000F4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SPB-IND81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2026-05-26T04:57:16+00:00</dcterms:created>
  <dcterms:modified xsi:type="dcterms:W3CDTF">2026-05-26T04:57:16+00:00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