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XNV-6022RM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3,6mm,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Festbrennweite F2,0/3,6mm, 94,8° HFoV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SSNRV</w:t>
      </w:r>
    </w:p>
    <w:p>
      <w:pPr>
        <w:pStyle w:val="p2Style"/>
      </w:pPr>
      <w:r>
        <w:rPr>
          <w:rStyle w:val="textStyle"/>
        </w:rPr>
        <w:t xml:space="preserve">Lichtempfindlichkeit 0,04Lux (F2,0, Farbe)</w:t>
      </w:r>
    </w:p>
    <w:p>
      <w:pPr>
        <w:pStyle w:val="p2Style"/>
      </w:pPr>
      <w:r>
        <w:rPr>
          <w:rStyle w:val="textStyle"/>
        </w:rPr>
        <w:t xml:space="preserve">Infrarotbeleuchtung, bis 15m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Micro SDXC Slot, USB-WLAN-Installationshilfe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textStyle"/>
        </w:rPr>
        <w:t xml:space="preserve">Aluminiumgehäuse, IK10 Vandalismusschutz</w:t>
      </w:r>
    </w:p>
    <w:p>
      <w:pPr>
        <w:pStyle w:val="p2Style"/>
      </w:pPr>
      <w:r>
        <w:rPr>
          <w:rStyle w:val="textStyle"/>
        </w:rPr>
        <w:t xml:space="preserve">Vibrationsschutz: EN 50155, EN 50121, M12 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50121,EN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8801089126986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XNV-6022RM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2026-09-18T15:56:06+00:00</dcterms:created>
  <dcterms:modified xsi:type="dcterms:W3CDTF">2026-09-18T15:56:06+00:00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