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2,4mm,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Festbrennweite F2,0/2,4mm, 135,4° HFoV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SSNRV</w:t>
      </w:r>
    </w:p>
    <w:p>
      <w:pPr>
        <w:pStyle w:val="p2Style"/>
      </w:pPr>
      <w:r>
        <w:rPr>
          <w:rStyle w:val="textStyle"/>
        </w:rPr>
        <w:t xml:space="preserve">Lichtempfindlichkeit 0,04Lux (F2,0, Farbe)</w:t>
      </w:r>
    </w:p>
    <w:p>
      <w:pPr>
        <w:pStyle w:val="p2Style"/>
      </w:pPr>
      <w:r>
        <w:rPr>
          <w:rStyle w:val="textStyle"/>
        </w:rPr>
        <w:t xml:space="preserve">Electronic Day&amp;Night Funktion</w:t>
      </w:r>
    </w:p>
    <w:p>
      <w:pPr>
        <w:pStyle w:val="p2Style"/>
      </w:pPr>
      <w:r>
        <w:rPr>
          <w:rStyle w:val="textStyle"/>
        </w:rPr>
        <w:t xml:space="preserve">Micro SDXC Slot, USB-WLAN-Installationshilfe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Für Außenanwendung, IP66</w:t>
      </w:r>
    </w:p>
    <w:p>
      <w:pPr>
        <w:pStyle w:val="p2Style"/>
      </w:pPr>
      <w:r>
        <w:rPr>
          <w:rStyle w:val="textStyle"/>
        </w:rPr>
        <w:t xml:space="preserve">Aluminiumgehäuse, IK10 Vandalismusschutz</w:t>
      </w:r>
    </w:p>
    <w:p>
      <w:pPr>
        <w:pStyle w:val="p2Style"/>
      </w:pPr>
      <w:r>
        <w:rPr>
          <w:rStyle w:val="textStyle"/>
        </w:rPr>
        <w:t xml:space="preserve">Vibrationsschutz: EN 50155, EN 50121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50121,EN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8801089127037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2026-05-13T11:52:36+00:00</dcterms:created>
  <dcterms:modified xsi:type="dcterms:W3CDTF">2026-05-13T11:52:36+00:00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