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T92E05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P13XX, M11XX, Q1755, Sonnendach,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Aluminium-Druckgussgehäuse für Innen &amp; Außen</w:t>
      </w:r>
    </w:p>
    <w:p>
      <w:pPr>
        <w:pStyle w:val="p2Style"/>
      </w:pPr>
      <w:r>
        <w:rPr>
          <w:rStyle w:val="textStyle"/>
        </w:rPr>
        <w:t xml:space="preserve">Mit Sonnendach und Wandmontagearm</w:t>
      </w:r>
    </w:p>
    <w:p>
      <w:pPr>
        <w:pStyle w:val="p2Style"/>
      </w:pPr>
      <w:r>
        <w:rPr>
          <w:rStyle w:val="textStyle"/>
        </w:rPr>
        <w:t xml:space="preserve">Einkabelinstallation mit verdeckter Kabelführung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