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1920x1200,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Kompatibel mit allen Sensoreinheiten der F-Serie</w:t>
      </w:r>
    </w:p>
    <w:p>
      <w:pPr>
        <w:pStyle w:val="p2Style"/>
      </w:pPr>
      <w:r>
        <w:rPr>
          <w:rStyle w:val="textStyle"/>
        </w:rPr>
        <w:t xml:space="preserve">1080p Full HD Auflösung bei 50 fps, max. 1920x1200</w:t>
      </w:r>
    </w:p>
    <w:p>
      <w:pPr>
        <w:pStyle w:val="p2Style"/>
      </w:pPr>
      <w:r>
        <w:rPr>
          <w:rStyle w:val="textStyle"/>
        </w:rPr>
        <w:t xml:space="preserve">WDR - Forensic Capture (nur mit kompatiblen Sensoren)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Bidirektionelles Audio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802.3af/802.3at Class 3 (max 7.7 W)</w:t>
      </w:r>
    </w:p>
    <w:p>
      <w:pPr>
        <w:pStyle w:val="p2Style"/>
      </w:pPr>
      <w:r>
        <w:rPr>
          <w:rStyle w:val="textStyle"/>
        </w:rPr>
        <w:t xml:space="preserve">Optionales Zubehör für flexible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2026-07-21T08:41:22+00:00</dcterms:created>
  <dcterms:modified xsi:type="dcterms:W3CDTF">2026-07-21T08:41:22+00:00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