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73977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RM200-AI-120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120-180°, 80W,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850nm</w:t>
      </w:r>
    </w:p>
    <w:p>
      <w:pPr>
        <w:pStyle w:val="p2Style"/>
      </w:pPr>
      <w:r>
        <w:rPr>
          <w:rStyle w:val="textStyle"/>
        </w:rPr>
        <w:t xml:space="preserve">"Adaptive Illumination (TM)": 120-180°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64m max. (IR-empfindliche Kamera)</w:t>
      </w:r>
    </w:p>
    <w:p>
      <w:pPr>
        <w:pStyle w:val="p2Style"/>
      </w:pPr>
      <w:r>
        <w:rPr>
          <w:rStyle w:val="textStyle"/>
        </w:rPr>
        <w:t xml:space="preserve">Modernste LED-Technologie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Leistungsaufnahme: 80W max.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120-180°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42-64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RM200-AI-120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2024-03-28T17:14:56+00:00</dcterms:created>
  <dcterms:modified xsi:type="dcterms:W3CDTF">2024-03-28T17:14:56+00:00</dcterms:modified>
  <dc:title/>
  <dc:description/>
  <dc:subject/>
  <cp:keywords/>
  <cp:category/>
</cp:coreProperties>
</file>