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Bluetooth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Bluetooth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Bluetooth-Lesegerät</w:t>
      </w:r>
    </w:p>
    <w:p>
      <w:pPr>
        <w:pStyle w:val="p2Style"/>
      </w:pPr>
      <w:r>
        <w:rPr>
          <w:rStyle w:val="textStyle"/>
        </w:rPr>
        <w:t xml:space="preserve">USB-Schnittstelle für Computer</w:t>
      </w:r>
    </w:p>
    <w:p>
      <w:pPr>
        <w:pStyle w:val="p2Style"/>
      </w:pPr>
      <w:r>
        <w:rPr>
          <w:rStyle w:val="textStyle"/>
        </w:rPr>
        <w:t xml:space="preserve">Zum Synchronisieren von neuen Benutzern</w:t>
      </w:r>
    </w:p>
    <w:p>
      <w:pPr>
        <w:pStyle w:val="p2Style"/>
      </w:pPr>
      <w:r>
        <w:rPr>
          <w:rStyle w:val="textStyle"/>
        </w:rPr>
        <w:t xml:space="preserve">Für Smartphones in 2N® Mobile Key-Anwendung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2026-07-10T10:10:32+00:00</dcterms:created>
  <dcterms:modified xsi:type="dcterms:W3CDTF">2026-07-10T10:10:32+00:00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