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ASL-APE3P-CLI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Client Lizenz Bosch AMC2, 1 zusätzlicher Client, max. 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