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600TGGNN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UHF-Smartcard, ohne Druck, SIO-fähig, weiß, MOQ=100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Ultrahochfrequenz-Technologie (UHF)</w:t>
      </w:r>
    </w:p>
    <w:p>
      <w:pPr>
        <w:pStyle w:val="p2Style"/>
      </w:pPr>
      <w:r>
        <w:rPr>
          <w:rStyle w:val="textStyle"/>
        </w:rPr>
        <w:t xml:space="preserve">Große Lesereichweite</w:t>
      </w:r>
    </w:p>
    <w:p>
      <w:pPr>
        <w:pStyle w:val="p2Style"/>
      </w:pPr>
      <w:r>
        <w:rPr>
          <w:rStyle w:val="textStyle"/>
        </w:rPr>
        <w:t xml:space="preserve">SIO®-fähig (Secure Identity Object®)</w:t>
      </w:r>
    </w:p>
    <w:p>
      <w:pPr>
        <w:pStyle w:val="p2Style"/>
      </w:pPr>
      <w:r>
        <w:rPr>
          <w:rStyle w:val="textStyle"/>
        </w:rPr>
        <w:t xml:space="preserve">Bis zu 100.000 Schreibzyklen</w:t>
      </w:r>
    </w:p>
    <w:p>
      <w:pPr>
        <w:pStyle w:val="p2Style"/>
      </w:pPr>
      <w:r>
        <w:rPr>
          <w:rStyle w:val="textStyle"/>
        </w:rPr>
        <w:t xml:space="preserve">Passives Design ohne Batterien</w:t>
      </w:r>
    </w:p>
    <w:p>
      <w:pPr>
        <w:pStyle w:val="p2Style"/>
      </w:pPr>
      <w:r>
        <w:rPr>
          <w:rStyle w:val="textStyle"/>
        </w:rPr>
        <w:t xml:space="preserve">Frequenzbereich 860 bis 960 MHz</w:t>
      </w:r>
    </w:p>
    <w:p>
      <w:pPr>
        <w:pStyle w:val="p2Style"/>
      </w:pPr>
      <w:r>
        <w:rPr>
          <w:rStyle w:val="textStyle"/>
        </w:rPr>
        <w:t xml:space="preserve">Programmierdaten erforderlich!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600TGGNN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UHF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2026-08-02T04:59:35+00:00</dcterms:created>
  <dcterms:modified xsi:type="dcterms:W3CDTF">2026-08-02T04:59:35+00:00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