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2050CNNNN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Key II Schlüssel- anhänger, 2kB, MOQ=100, schwarz/blau, unprogrammiert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Unprogrammiert</w:t>
      </w:r>
    </w:p>
    <w:p>
      <w:pPr>
        <w:pStyle w:val="p2Style"/>
      </w:pPr>
      <w:r>
        <w:rPr>
          <w:rStyle w:val="textStyle"/>
        </w:rPr>
        <w:t xml:space="preserve">Unbeschriftet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2050CNNNN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