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RFID - 125kHz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125kHz Leser,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Sicherung des Zugangs durch RFID 125kHz Leseeinheit</w:t>
      </w:r>
    </w:p>
    <w:p>
      <w:pPr>
        <w:pStyle w:val="p2Style"/>
      </w:pPr>
      <w:r>
        <w:rPr>
          <w:rStyle w:val="textStyle"/>
        </w:rPr>
        <w:t xml:space="preserve">Unterstützt EM4100, EM4102, HID Prox 125kHz Karten</w:t>
      </w:r>
    </w:p>
    <w:p>
      <w:pPr>
        <w:pStyle w:val="p2Style"/>
      </w:pPr>
      <w:r>
        <w:rPr>
          <w:rStyle w:val="textStyle"/>
        </w:rPr>
        <w:t xml:space="preserve">Auslesen der Seriennummer der Karte (UID)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textStyle"/>
        </w:rPr>
        <w:t xml:space="preserve">Ehemalige Herstellernummer: 916009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2026-08-14T17:10:21+00:00</dcterms:created>
  <dcterms:modified xsi:type="dcterms:W3CDTF">2026-08-14T17:10:21+00:00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