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Fingerprint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Fingerprint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Schnelle Erkennung der Nutzerfingerabdrücke</w:t>
      </w:r>
    </w:p>
    <w:p>
      <w:pPr>
        <w:pStyle w:val="p2Style"/>
      </w:pPr>
      <w:r>
        <w:rPr>
          <w:rStyle w:val="textStyle"/>
        </w:rPr>
        <w:t xml:space="preserve">Sehr sichere Nutzeridentifikationsmethode</w:t>
      </w:r>
    </w:p>
    <w:p>
      <w:pPr>
        <w:pStyle w:val="p2Style"/>
      </w:pPr>
      <w:r>
        <w:rPr>
          <w:rStyle w:val="textStyle"/>
        </w:rPr>
        <w:t xml:space="preserve">FBI PIV und Mobile ID Zertifizierung - FAP20</w:t>
      </w:r>
    </w:p>
    <w:p>
      <w:pPr>
        <w:pStyle w:val="p2Style"/>
      </w:pPr>
      <w:r>
        <w:rPr>
          <w:rStyle w:val="textStyle"/>
        </w:rPr>
        <w:t xml:space="preserve">Algorithmus zur Detektion von falschen Fingerabdrücken</w:t>
      </w:r>
    </w:p>
    <w:p>
      <w:pPr>
        <w:pStyle w:val="p2Style"/>
      </w:pPr>
      <w:r>
        <w:rPr>
          <w:rStyle w:val="textStyle"/>
        </w:rPr>
        <w:t xml:space="preserve">Optischer Sensor, Schutz durch widerstandsfähiges Glas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Schutzklasse IP54, IK08, -20 bis +55 °C Betriebstemperatur</w:t>
      </w:r>
    </w:p>
    <w:p>
      <w:pPr>
        <w:pStyle w:val="p2Style"/>
      </w:pPr>
      <w:r>
        <w:rPr>
          <w:rStyle w:val="textStyle"/>
        </w:rPr>
        <w:t xml:space="preserve">Externer USB-Fingerprint-Leser für Inbetriebnahme nötig</w:t>
      </w:r>
    </w:p>
    <w:p>
      <w:pPr>
        <w:pStyle w:val="p2Style"/>
      </w:pPr>
      <w:r>
        <w:rPr>
          <w:rStyle w:val="textStyle"/>
        </w:rPr>
        <w:t xml:space="preserve">Ehemalige Herstellernummer: 916019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2026-07-14T14:03:22+00:00</dcterms:created>
  <dcterms:modified xsi:type="dcterms:W3CDTF">2026-07-14T14:03:22+00:00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