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CP1000D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Kodiergerät, zur Programmierung von RFID- Zutrittskontrollkarten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diverse Standards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</w:t>
      </w:r>
    </w:p>
    <w:p>
      <w:pPr>
        <w:pStyle w:val="p2Style"/>
      </w:pPr>
      <w:r>
        <w:rPr>
          <w:rStyle w:val="textStyle"/>
        </w:rPr>
        <w:t xml:space="preserve">iCLASS Seos</w:t>
      </w:r>
    </w:p>
    <w:p>
      <w:pPr>
        <w:pStyle w:val="p2Style"/>
      </w:pPr>
      <w:r>
        <w:rPr>
          <w:rStyle w:val="textStyle"/>
        </w:rPr>
        <w:t xml:space="preserve">MIFARE Classic</w:t>
      </w:r>
    </w:p>
    <w:p>
      <w:pPr>
        <w:pStyle w:val="p2Style"/>
      </w:pPr>
      <w:r>
        <w:rPr>
          <w:rStyle w:val="textStyle"/>
        </w:rPr>
        <w:t xml:space="preserve">MIFARE DESFire EV1</w:t>
      </w:r>
    </w:p>
    <w:p>
      <w:pPr>
        <w:pStyle w:val="p2Style"/>
      </w:pPr>
      <w:r>
        <w:rPr>
          <w:rStyle w:val="textStyle"/>
        </w:rPr>
        <w:t xml:space="preserve">HID Prox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CP1000D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