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TNM-C4952TD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13,5mm 8fps, 8MP MVF 10,9-29mm 30fps, IP66/67, IK10,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640x480 VGA Thermal Auflösung 8fps</w:t>
      </w:r>
    </w:p>
    <w:p>
      <w:pPr>
        <w:pStyle w:val="p2Style"/>
      </w:pPr>
      <w:r>
        <w:rPr>
          <w:rStyle w:val="textStyle"/>
        </w:rPr>
        <w:t xml:space="preserve">8 MP sichtbare Auflösung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textStyle"/>
        </w:rPr>
        <w:t xml:space="preserve">Zwei Kanäle (Wärmebild und sichtbares Licht)</w:t>
      </w:r>
    </w:p>
    <w:p>
      <w:pPr>
        <w:pStyle w:val="p2Style"/>
      </w:pPr>
      <w:r>
        <w:rPr>
          <w:rStyle w:val="textStyle"/>
        </w:rPr>
        <w:t xml:space="preserve">Objektiv: 13,5 mm festes Wärmebildobjektiv und</w:t>
      </w:r>
    </w:p>
    <w:p>
      <w:pPr>
        <w:pStyle w:val="p2Style"/>
      </w:pPr>
      <w:r>
        <w:rPr>
          <w:rStyle w:val="textStyle"/>
        </w:rPr>
        <w:t xml:space="preserve">10,9–29 mm motorisiertes Varioobjektiv für sichtbares Licht</w:t>
      </w:r>
    </w:p>
    <w:p>
      <w:pPr>
        <w:pStyle w:val="p2Style"/>
      </w:pPr>
      <w:r>
        <w:rPr>
          <w:rStyle w:val="textStyle"/>
        </w:rPr>
        <w:t xml:space="preserve">Rauschunterdrückung: WiseNR II</w:t>
      </w:r>
    </w:p>
    <w:p>
      <w:pPr>
        <w:pStyle w:val="p2Style"/>
      </w:pPr>
      <w:r>
        <w:rPr>
          <w:rStyle w:val="textStyle"/>
        </w:rPr>
        <w:t xml:space="preserve">Smart-Codec: WiseStream III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PoE+ (IEEE 802.3at), 12 VDC</w:t>
      </w:r>
    </w:p>
    <w:p>
      <w:pPr>
        <w:pStyle w:val="p2Style"/>
      </w:pPr>
      <w:r>
        <w:rPr>
          <w:rStyle w:val="textStyle"/>
        </w:rPr>
        <w:t xml:space="preserve">All-in-One-Design für Wand- und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ADPCM, G.711, G.726,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42,0° - 15,0°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22,08° - 8,4°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TNM-C4952TD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2026-11-04T01:14:34+00:00</dcterms:created>
  <dcterms:modified xsi:type="dcterms:W3CDTF">2026-11-04T01:14:34+00:00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