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DS-3D501R-A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Glasfaser Empfänger, 20 km Reichweite, 1x Gigabit RJ45, 1 Gigabit SC Glasfaser Port, 4 kV Überspannungsschutz,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und schnelle Weiterleitung für eine schnelle, verlustfreie Datenübertragung über Entfernungen von bis zu 3 km ohne Konfigurationsaufwand</w:t>
      </w:r>
    </w:p>
    <w:p>
      <w:pPr>
        <w:pStyle w:val="p2Style"/>
      </w:pPr>
      <w:r>
        <w:rPr>
          <w:rStyle w:val="textStyle"/>
        </w:rPr>
        <w:t xml:space="preserve">4-kV-Blitzschutzausführung mit hoher Zuverlässigkeit</w:t>
      </w:r>
    </w:p>
    <w:p>
      <w:pPr>
        <w:pStyle w:val="p2Style"/>
      </w:pPr>
      <w:r>
        <w:rPr>
          <w:rStyle w:val="textStyle"/>
        </w:rPr>
        <w:t xml:space="preserve">Quasi-industrietaugliche Ausführung mit einem Betriebstemperaturbereich von -20 °C bis 60 °C</w:t>
      </w:r>
    </w:p>
    <w:p>
      <w:pPr>
        <w:pStyle w:val="p2Style"/>
      </w:pPr>
      <w:r>
        <w:rPr>
          <w:rStyle w:val="textStyle"/>
        </w:rPr>
        <w:t xml:space="preserve">Wellenlängenmultiplexverfahren und Datenübertragung über eine einzige Faser, wodurch Verkabelungskosten eingespart werden</w:t>
      </w:r>
    </w:p>
    <w:p>
      <w:pPr>
        <w:pStyle w:val="p2Style"/>
      </w:pPr>
      <w:r>
        <w:rPr>
          <w:rStyle w:val="textStyle"/>
        </w:rPr>
        <w:t xml:space="preserve">Robustes und hochfestes Metallgehäuse in Industriequalität mit verbesserter Wärmeableitung</w:t>
      </w:r>
    </w:p>
    <w:p>
      <w:pPr>
        <w:pStyle w:val="p2Style"/>
      </w:pPr>
      <w:r>
        <w:rPr>
          <w:rStyle w:val="textStyle"/>
        </w:rPr>
        <w:t xml:space="preserve">1 x 10/100/1000 Mbit/s RJ45-Anschluss und 1 x 1000 Mbit/s SC-Glasfaseranschluss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338200061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2026-10-31T01:22:51+00:00</dcterms:created>
  <dcterms:modified xsi:type="dcterms:W3CDTF">2026-10-31T01:22:51+00:00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