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mit Kabelausgängen, für Innen- und Außenbereiche, Aluminium,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Kabelausgang(en)</w:t>
      </w:r>
    </w:p>
    <w:p>
      <w:pPr>
        <w:pStyle w:val="p2Style"/>
      </w:pPr>
      <w:r>
        <w:rPr>
          <w:rStyle w:val="textStyle"/>
        </w:rPr>
        <w:t xml:space="preserve">Geeignet für den Einsatz sowohl im Innen- als auch im Außenbereich</w:t>
      </w:r>
    </w:p>
    <w:p>
      <w:pPr>
        <w:pStyle w:val="p2Style"/>
      </w:pPr>
      <w:r>
        <w:rPr>
          <w:rStyle w:val="textStyle"/>
        </w:rPr>
        <w:t xml:space="preserve">310 mm × 208.9 mm × 94.1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2026-10-31T01:22:25+00:00</dcterms:created>
  <dcterms:modified xsi:type="dcterms:W3CDTF">2026-10-31T01:22:25+00:00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