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3.7 MM F2.0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M14, 3,7 mm, F2.0, IR-korrigiert,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108,4° </w:t>
      </w:r>
    </w:p>
    <w:p>
      <w:pPr>
        <w:pStyle w:val="p2Style"/>
      </w:pPr>
      <w:r>
        <w:rPr>
          <w:rStyle w:val="textStyle"/>
        </w:rPr>
        <w:t xml:space="preserve">Brennweite 3,7 mm </w:t>
      </w:r>
    </w:p>
    <w:p>
      <w:pPr>
        <w:pStyle w:val="p2Style"/>
      </w:pPr>
      <w:r>
        <w:rPr>
          <w:rStyle w:val="textStyle"/>
        </w:rPr>
        <w:t xml:space="preserve">Blendenzahl 2,0 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Gehäuse aus Kunststoff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2026-09-10T22:01:23+00:00</dcterms:created>
  <dcterms:modified xsi:type="dcterms:W3CDTF">2026-09-10T22:01:23+00:00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