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16 Ports, unmanaged, PoE+, 186W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Desktop, Rack und wandmontierbar</w:t>
      </w:r>
    </w:p>
    <w:p>
      <w:pPr>
        <w:pStyle w:val="p2Style"/>
      </w:pPr>
      <w:r>
        <w:rPr>
          <w:rStyle w:val="textStyle"/>
        </w:rPr>
        <w:t xml:space="preserve">Bandbreite: 32 Gbit/s</w:t>
      </w:r>
    </w:p>
    <w:p>
      <w:pPr>
        <w:pStyle w:val="p2Style"/>
      </w:pPr>
      <w:r>
        <w:rPr>
          <w:rStyle w:val="textStyle"/>
        </w:rPr>
        <w:t xml:space="preserve">186 W PoE Budget</w:t>
      </w:r>
    </w:p>
    <w:p>
      <w:pPr>
        <w:pStyle w:val="p2Style"/>
      </w:pPr>
      <w:r>
        <w:rPr>
          <w:rStyle w:val="textStyle"/>
        </w:rPr>
        <w:t xml:space="preserve">16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2026-10-23T06:49:35+00:00</dcterms:created>
  <dcterms:modified xsi:type="dcterms:W3CDTF">2026-10-23T06:49:35+00:00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