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4K UHD, 4x HDMI Multiviewer,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4K-Auflösung mit nativer Quad-View- und flexiblen PIP-/PBP-Layouts</w:t>
      </w:r>
    </w:p>
    <w:p>
      <w:pPr>
        <w:pStyle w:val="p2Style"/>
      </w:pPr>
      <w:r>
        <w:rPr>
          <w:rStyle w:val="textStyle"/>
        </w:rPr>
        <w:t xml:space="preserve">4× HDMI, DisplayPort und RS232 Daisy-Chain</w:t>
      </w:r>
    </w:p>
    <w:p>
      <w:pPr>
        <w:pStyle w:val="p2Style"/>
      </w:pPr>
      <w:r>
        <w:rPr>
          <w:rStyle w:val="textStyle"/>
        </w:rPr>
        <w:t xml:space="preserve">Blackout-Modus und Dimmsteuerung</w:t>
      </w:r>
    </w:p>
    <w:p>
      <w:pPr>
        <w:pStyle w:val="p2Style"/>
      </w:pPr>
      <w:r>
        <w:rPr>
          <w:rStyle w:val="textStyle"/>
        </w:rPr>
        <w:t xml:space="preserve">Proaktives Systemmonitoring mit Failover-Schutz</w:t>
      </w:r>
    </w:p>
    <w:p>
      <w:pPr>
        <w:pStyle w:val="p2Style"/>
      </w:pPr>
      <w:r>
        <w:rPr>
          <w:rStyle w:val="textStyle"/>
        </w:rPr>
        <w:t xml:space="preserve">Robustes Metallgehäuse mit NeoV™-Optikglas</w:t>
      </w:r>
    </w:p>
    <w:p>
      <w:pPr>
        <w:pStyle w:val="p2Style"/>
      </w:pPr>
      <w:r>
        <w:rPr>
          <w:rStyle w:val="textStyle"/>
        </w:rPr>
        <w:t xml:space="preserve">Geeignet für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QX4302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KNB01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Helligkeitsregler, für AG Neovo 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KPD01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Tastatur, für AG Neovo 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2026-10-03T17:58:49+00:00</dcterms:created>
  <dcterms:modified xsi:type="dcterms:W3CDTF">2026-10-03T17:58:49+00:00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