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224953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HK-SFP-1.25G-20-1310(O-STD)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TX1310nm/1.25G,RX1550nm/1.25G, LC, Single Mode und Single Fiber, 20km Reichweite, 0°C - 70°C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Kleiner Formfaktor, steckbar (SFP), MSA-kompatibel</w:t>
      </w:r>
    </w:p>
    <w:p>
      <w:pPr>
        <w:pStyle w:val="p2Style"/>
      </w:pPr>
      <w:r>
        <w:rPr>
          <w:rStyle w:val="textStyle"/>
        </w:rPr>
        <w:t xml:space="preserve">Einfaser-LC-Steckverbinder mit bidirektionaler Verbindung</w:t>
      </w:r>
    </w:p>
    <w:p>
      <w:pPr>
        <w:pStyle w:val="p2Style"/>
      </w:pPr>
      <w:r>
        <w:rPr>
          <w:rStyle w:val="textStyle"/>
        </w:rPr>
        <w:t xml:space="preserve">Hot-Plug-Fähigkeit</w:t>
      </w:r>
    </w:p>
    <w:p>
      <w:pPr>
        <w:pStyle w:val="p2Style"/>
      </w:pPr>
      <w:r>
        <w:rPr>
          <w:rStyle w:val="textStyle"/>
        </w:rPr>
        <w:t xml:space="preserve">Entspricht der ROHS-Norm</w:t>
      </w:r>
    </w:p>
    <w:p>
      <w:pPr>
        <w:pStyle w:val="p2Style"/>
      </w:pPr>
      <w:r>
        <w:rPr>
          <w:rStyle w:val="textStyle"/>
        </w:rPr>
        <w:t xml:space="preserve">Kostengünstige SFP-Lösung, ermöglicht höhere Portdichten und größere Bandbreite</w:t>
      </w:r>
    </w:p>
    <w:p>
      <w:pPr>
        <w:pStyle w:val="p2Style"/>
      </w:pPr>
      <w:r>
        <w:rPr>
          <w:rStyle w:val="textStyle"/>
        </w:rPr>
        <w:t xml:space="preserve">Unterstützt 1,25-Gigabit-Ethernet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6954273640347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307400045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2026-10-27T21:16:07+00:00</dcterms:created>
  <dcterms:modified xsi:type="dcterms:W3CDTF">2026-10-27T21:16:07+00:00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