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HK-SFP-1.25G-20-1550(O-STD)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TX1550nm/1.25G, RX1310nm/1.25G, LC, Single Mode und Single Fiber, 20km Reichweite, 0°C - 70°C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Einzelstromversorgung mit 3,3 V</w:t>
      </w:r>
    </w:p>
    <w:p>
      <w:pPr>
        <w:pStyle w:val="p2Style"/>
      </w:pPr>
      <w:r>
        <w:rPr>
          <w:rStyle w:val="textStyle"/>
        </w:rPr>
        <w:t xml:space="preserve">MSA-konform nach dem Small Form Factor Pluggable (SFP)-Standard</w:t>
      </w:r>
    </w:p>
    <w:p>
      <w:pPr>
        <w:pStyle w:val="p2Style"/>
      </w:pPr>
      <w:r>
        <w:rPr>
          <w:rStyle w:val="textStyle"/>
        </w:rPr>
        <w:t xml:space="preserve">Duplex-LC-Anschluss</w:t>
      </w:r>
    </w:p>
    <w:p>
      <w:pPr>
        <w:pStyle w:val="p2Style"/>
      </w:pPr>
      <w:r>
        <w:rPr>
          <w:rStyle w:val="textStyle"/>
        </w:rPr>
        <w:t xml:space="preserve">Hot-Plug-fähig</w:t>
      </w:r>
    </w:p>
    <w:p>
      <w:pPr>
        <w:pStyle w:val="p2Style"/>
      </w:pPr>
      <w:r>
        <w:rPr>
          <w:rStyle w:val="textStyle"/>
        </w:rPr>
        <w:t xml:space="preserve">Entspricht der RoHS-Richtlinie</w:t>
      </w:r>
    </w:p>
    <w:p>
      <w:pPr>
        <w:pStyle w:val="p2Style"/>
      </w:pPr>
      <w:r>
        <w:rPr>
          <w:rStyle w:val="textStyle"/>
        </w:rPr>
        <w:t xml:space="preserve">Kostengünstige SFP-Lösung, die höhere Portdichten und größere Bandbreiten ermöglicht</w:t>
      </w:r>
    </w:p>
    <w:p>
      <w:pPr>
        <w:pStyle w:val="p2Style"/>
      </w:pPr>
      <w:r>
        <w:rPr>
          <w:rStyle w:val="textStyle"/>
        </w:rPr>
        <w:t xml:space="preserve">Unterstützung für 1,25 Gbit/s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6954273640354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307400046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2026-09-12T15:37:13+00:00</dcterms:created>
  <dcterms:modified xsi:type="dcterms:W3CDTF">2026-09-12T15:37:13+00:00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