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HK-SFP-1.25G-20-1310-DF(O-STD)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TX1310nm/1.25G, RX1310nm/1.25G, LC, Single Mode und Duplex Fiber, 20km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Einzelstromversorgung mit 3,3 V</w:t>
      </w:r>
    </w:p>
    <w:p>
      <w:pPr>
        <w:pStyle w:val="p2Style"/>
      </w:pPr>
      <w:r>
        <w:rPr>
          <w:rStyle w:val="textStyle"/>
        </w:rPr>
        <w:t xml:space="preserve">Small Form Factor Pluggable (SFP) MSA-kompatibel</w:t>
      </w:r>
    </w:p>
    <w:p>
      <w:pPr>
        <w:pStyle w:val="p2Style"/>
      </w:pPr>
      <w:r>
        <w:rPr>
          <w:rStyle w:val="textStyle"/>
        </w:rPr>
        <w:t xml:space="preserve">Duplex-LC-Stecker</w:t>
      </w:r>
    </w:p>
    <w:p>
      <w:pPr>
        <w:pStyle w:val="p2Style"/>
      </w:pPr>
      <w:r>
        <w:rPr>
          <w:rStyle w:val="textStyle"/>
        </w:rPr>
        <w:t xml:space="preserve">Hot-Plug-Fähigkeit</w:t>
      </w:r>
    </w:p>
    <w:p>
      <w:pPr>
        <w:pStyle w:val="p2Style"/>
      </w:pPr>
      <w:r>
        <w:rPr>
          <w:rStyle w:val="textStyle"/>
        </w:rPr>
        <w:t xml:space="preserve">Entspricht dem ROHS-Standard</w:t>
      </w:r>
    </w:p>
    <w:p>
      <w:pPr>
        <w:pStyle w:val="p2Style"/>
      </w:pPr>
      <w:r>
        <w:rPr>
          <w:rStyle w:val="textStyle"/>
        </w:rPr>
        <w:t xml:space="preserve">Kostengünstige SFP-Lösung, ermöglicht höhere Portdichten und größere Bandbreite</w:t>
      </w:r>
    </w:p>
    <w:p>
      <w:pPr>
        <w:pStyle w:val="p2Style"/>
      </w:pPr>
      <w:r>
        <w:rPr>
          <w:rStyle w:val="textStyle"/>
        </w:rPr>
        <w:t xml:space="preserve">Unterstützung für 1,25-Gbit/s-Ethernet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2026-09-12T14:06:10+00:00</dcterms:created>
  <dcterms:modified xsi:type="dcterms:W3CDTF">2026-09-12T14:06:10+00:00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