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1000 cd/qm, 3840x2160, 2x HDMI, DP, VGA,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 Nits hohe Helligkeit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RS232- und RJ45-Konnektivität</w:t>
      </w:r>
    </w:p>
    <w:p>
      <w:pPr>
        <w:pStyle w:val="p2Style"/>
      </w:pPr>
      <w:r>
        <w:rPr>
          <w:rStyle w:val="textStyle"/>
        </w:rPr>
        <w:t xml:space="preserve">Intel® SDM-bereite Architektur</w:t>
      </w:r>
    </w:p>
    <w:p>
      <w:pPr>
        <w:pStyle w:val="p2Style"/>
      </w:pPr>
      <w:r>
        <w:rPr>
          <w:rStyle w:val="textStyle"/>
        </w:rPr>
        <w:t xml:space="preserve">24/7-Betrieb in Industriequalität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2x HDMI, Display Port,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2026-07-28T18:16:21+00:00</dcterms:created>
  <dcterms:modified xsi:type="dcterms:W3CDTF">2026-07-28T18:16:21+00:00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