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1000 cd/qm, 3840x2160, 2x HDMI, DP, VGA,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 Nits hohe Helligkeit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RS232- und RJ45-Konnektivität</w:t>
      </w:r>
    </w:p>
    <w:p>
      <w:pPr>
        <w:pStyle w:val="p2Style"/>
      </w:pPr>
      <w:r>
        <w:rPr>
          <w:rStyle w:val="textStyle"/>
        </w:rPr>
        <w:t xml:space="preserve">Intel® SDM-bereite Architektur</w:t>
      </w:r>
    </w:p>
    <w:p>
      <w:pPr>
        <w:pStyle w:val="p2Style"/>
      </w:pPr>
      <w:r>
        <w:rPr>
          <w:rStyle w:val="textStyle"/>
        </w:rPr>
        <w:t xml:space="preserve">24/7-Betrieb in Industriequalität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2x HDMI, Display Port,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2026-10-27T01:42:49+00:00</dcterms:created>
  <dcterms:modified xsi:type="dcterms:W3CDTF">2026-10-27T01:42:49+00:00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