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HM-TD1218-2/G0/T1A(O-STD)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160x120 Thermal, 1,8mm Brennweite, 5MP, 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160 × 120, 12 μm, VOx UFPA, NETD ≤ 25 mK (25 °C, F# = 1,0)</w:t>
      </w:r>
    </w:p>
    <w:p>
      <w:pPr>
        <w:pStyle w:val="p2Style"/>
      </w:pPr>
      <w:r>
        <w:rPr>
          <w:rStyle w:val="textStyle"/>
        </w:rPr>
        <w:t xml:space="preserve">Video Content Analysis 3.0 (VCA3.0): hochpräzise Erkennung und Klassifizierung von Fahrzeugen und Personen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einen Algorithmus zur Brandherd-Erkennung</w:t>
      </w:r>
    </w:p>
    <w:p>
      <w:pPr>
        <w:pStyle w:val="p2Style"/>
      </w:pPr>
      <w:r>
        <w:rPr>
          <w:rStyle w:val="textStyle"/>
        </w:rPr>
        <w:t xml:space="preserve">Unterstützt einen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selbstanpassender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2026-10-26T04:24:17+00:00</dcterms:created>
  <dcterms:modified xsi:type="dcterms:W3CDTF">2026-10-26T04:24:17+00:00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