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HM-TD2628-3/G1/T3A(O-STD)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256x192 Thermal, 3,5mm Brennweite, 5MP, 25fps 4,3mm Brennweite,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≤25 mK (25°C, F1.0)</w:t>
      </w:r>
    </w:p>
    <w:p>
      <w:pPr>
        <w:pStyle w:val="p2Style"/>
      </w:pPr>
      <w:r>
        <w:rPr>
          <w:rStyle w:val="textStyle"/>
        </w:rPr>
        <w:t xml:space="preserve">Erhöhter Erkennungsabstand zwischen Mensch und Fahrzeug und extrem niedriger Fehlalarm mit GUANLAN Large-Scale AI Model</w:t>
      </w:r>
    </w:p>
    <w:p>
      <w:pPr>
        <w:pStyle w:val="p2Style"/>
      </w:pPr>
      <w:r>
        <w:rPr>
          <w:rStyle w:val="textStyle"/>
        </w:rPr>
        <w:t xml:space="preserve">Unterstützt intelligentes Hybridlicht: Weißes Licht, IR und intelligenter 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8°C (± 14.4°F)</w:t>
      </w:r>
    </w:p>
    <w:p>
      <w:pPr>
        <w:pStyle w:val="p2Style"/>
      </w:pPr>
      <w:r>
        <w:rPr>
          <w:rStyle w:val="textStyle"/>
        </w:rPr>
        <w:t xml:space="preserve">Unterstützung des Algorithmus zur Erkennung von Brandherden</w:t>
      </w:r>
    </w:p>
    <w:p>
      <w:pPr>
        <w:pStyle w:val="p2Style"/>
      </w:pPr>
      <w:r>
        <w:rPr>
          <w:rStyle w:val="textStyle"/>
        </w:rPr>
        <w:t xml:space="preserve">Unterstützung des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textStyle"/>
        </w:rPr>
        <w:t xml:space="preserve">Hochwertiger Melder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2026-07-27T22:49:32+00:00</dcterms:created>
  <dcterms:modified xsi:type="dcterms:W3CDTF">2026-07-27T22:49:32+00:00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