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DP-D501940-1X1-Q1-NW-Q0.1-TY/V200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19° bis 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textStyle"/>
        </w:rPr>
        <w:t xml:space="preserve">Die maximale Tragkraft beträgt 30 kg (66 lb)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2026-07-24T23:39:55+00:00</dcterms:created>
  <dcterms:modified xsi:type="dcterms:W3CDTF">2026-07-24T23:39:55+00:00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