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DS-DM4255W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Stahlkonstruktion, die ein Verbiegen oder Verziehen des Gitters verhindert</w:t>
      </w:r>
    </w:p>
    <w:p>
      <w:pPr>
        <w:pStyle w:val="p2Style"/>
      </w:pPr>
      <w:r>
        <w:rPr>
          <w:rStyle w:val="textStyle"/>
        </w:rPr>
        <w:t xml:space="preserve">Kaltgewalztes Stahlblech (SPCC)</w:t>
      </w:r>
    </w:p>
    <w:p>
      <w:pPr>
        <w:pStyle w:val="p2Style"/>
      </w:pPr>
      <w:r>
        <w:rPr>
          <w:rStyle w:val="textStyle"/>
        </w:rPr>
        <w:t xml:space="preserve">Schnelle und einfache Montage</w:t>
      </w:r>
    </w:p>
    <w:p>
      <w:pPr>
        <w:pStyle w:val="p2Style"/>
      </w:pPr>
      <w:r>
        <w:rPr>
          <w:rStyle w:val="textStyle"/>
        </w:rPr>
        <w:t xml:space="preserve">Die maximale Tragkraft beträgt 35 kg (77 lb)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190115893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2026-07-24T00:33:07+00:00</dcterms:created>
  <dcterms:modified xsi:type="dcterms:W3CDTF">2026-07-24T00:33:07+00:00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