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DS-2CD2T126G3-4I2UY(2.8mm)(eF)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12MP, 2,8mm, AcuSense 3.0, DarkFighter, Mic, IR,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ein lebensechtes Erlebnis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„Powered by DarkFighter“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Kristallklarer Ton dank integriertem Dual-Mikrofon-Array (Modelle der -2U-Serie)</w:t>
      </w:r>
    </w:p>
    <w:p>
      <w:pPr>
        <w:pStyle w:val="p2Style"/>
      </w:pPr>
      <w:r>
        <w:rPr>
          <w:rStyle w:val="textStyle"/>
        </w:rPr>
        <w:t xml:space="preserve">Klare Bildgebung auch bei starkem Gegenlicht dank 130-dB-True-WDR-Technologie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Korrosionsbeständiges Design, das im Vergleich zum Standard (NEMA 4X) für Zuverlässigkeit und Langlebigkeit sorgt</w:t>
      </w:r>
    </w:p>
    <w:p>
      <w:pPr>
        <w:pStyle w:val="p2Style"/>
      </w:pPr>
      <w:r>
        <w:rPr>
          <w:rStyle w:val="textStyle"/>
        </w:rPr>
        <w:t xml:space="preserve">Manipulationssichere und umweltfreundliche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311332976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Aluminiumlegierung,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2026-07-21T05:57:26+00:00</dcterms:created>
  <dcterms:modified xsi:type="dcterms:W3CDTF">2026-07-21T05:57:26+00:00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