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iDS-2CD7AC6G2-IZHSY(2.8-12mm)(O-STD)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12 MP Auflösung und einem Seitenverhältnis von 16:9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 2.0-Technologie</w:t>
      </w:r>
    </w:p>
    <w:p>
      <w:pPr>
        <w:pStyle w:val="p2Style"/>
      </w:pPr>
      <w:r>
        <w:rPr>
          <w:rStyle w:val="textStyle"/>
        </w:rPr>
        <w:t xml:space="preserve">Klare Bilddarstellung auch bei starkem Gegenlicht dank 120 dB AWDR-Technologie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für eine Vielzahl von Anwendungsbereichen</w:t>
      </w:r>
    </w:p>
    <w:p>
      <w:pPr>
        <w:pStyle w:val="p2Style"/>
      </w:pPr>
      <w:r>
        <w:rPr>
          <w:rStyle w:val="textStyle"/>
        </w:rPr>
        <w:t xml:space="preserve">Wasser- und staubgeschützt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Integrierter G-Sensor zur Erkennung von Erschütterungen</w:t>
      </w:r>
    </w:p>
    <w:p>
      <w:pPr>
        <w:pStyle w:val="p2Style"/>
      </w:pPr>
      <w:r>
        <w:rPr>
          <w:rStyle w:val="textStyle"/>
        </w:rPr>
        <w:t xml:space="preserve">Integrierter Leistungsmesser für historische Leistungsstatistiken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0,0054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2026-06-06T02:10:20+00:00</dcterms:created>
  <dcterms:modified xsi:type="dcterms:W3CDTF">2026-06-06T02:10:20+00:00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