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DS-2CD3086G3-LIUY/SL(4mm)(eF)(O-STD)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4mm,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exzellente Geräuschunterdrückung</w:t>
      </w:r>
    </w:p>
    <w:p>
      <w:pPr>
        <w:pStyle w:val="p2Style"/>
      </w:pPr>
      <w:r>
        <w:rPr>
          <w:rStyle w:val="textStyle"/>
        </w:rPr>
        <w:t xml:space="preserve">24/7 farbenfrohe Bilder durch Darkfighter 2.0 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Korrosionsschutzdesign, das im Vergleich zum Standard (NEMA4X) Zuverlässigkeit und Langlebigkeit bietet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2026-06-04T19:42:26+00:00</dcterms:created>
  <dcterms:modified xsi:type="dcterms:W3CDTF">2026-06-04T19:42:26+00:00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