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 SR-500-C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5,8 GHz, 500m Reichweite, CE, UL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Großflächige Abdeckung</w:t>
      </w:r>
    </w:p>
    <w:p>
      <w:pPr>
        <w:pStyle w:val="p2Style"/>
      </w:pPr>
      <w:r>
        <w:rPr>
          <w:rStyle w:val="textStyle"/>
        </w:rPr>
        <w:t xml:space="preserve">Verfolgung mehrerer Ziele</w:t>
      </w:r>
    </w:p>
    <w:p>
      <w:pPr>
        <w:pStyle w:val="p2Style"/>
      </w:pPr>
      <w:r>
        <w:rPr>
          <w:rStyle w:val="textStyle"/>
        </w:rPr>
        <w:t xml:space="preserve">KI-gestützte Klassifizierung</w:t>
      </w:r>
    </w:p>
    <w:p>
      <w:pPr>
        <w:pStyle w:val="p2Style"/>
      </w:pPr>
      <w:r>
        <w:rPr>
          <w:rStyle w:val="textStyle"/>
        </w:rPr>
        <w:t xml:space="preserve">Integration mit VMS und PTZ-Kameras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bis +70°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MSA1241A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MS991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PoE-Kabel, 15m,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MSA1252A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MSA1273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PoE-Kabel, 2,5m,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2026-09-20T15:02:47+00:00</dcterms:created>
  <dcterms:modified xsi:type="dcterms:W3CDTF">2026-09-20T15:02:47+00:00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