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UHD 3840x2160, HDMI, VGA, DisplayPort,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Helligkeit von 1000 cd/qm</w:t>
      </w:r>
    </w:p>
    <w:p>
      <w:pPr>
        <w:pStyle w:val="p2Style"/>
      </w:pPr>
      <w:r>
        <w:rPr>
          <w:rStyle w:val="textStyle"/>
        </w:rPr>
        <w:t xml:space="preserve">Intel® SDM-kompatible Architektur</w:t>
      </w:r>
    </w:p>
    <w:p>
      <w:pPr>
        <w:pStyle w:val="p2Style"/>
      </w:pPr>
      <w:r>
        <w:rPr>
          <w:rStyle w:val="textStyle"/>
        </w:rPr>
        <w:t xml:space="preserve">RS232- und RJ45-Anschlüsse</w:t>
      </w:r>
    </w:p>
    <w:p>
      <w:pPr>
        <w:pStyle w:val="p2Style"/>
      </w:pPr>
      <w:r>
        <w:rPr>
          <w:rStyle w:val="textStyle"/>
        </w:rPr>
        <w:t xml:space="preserve">Fernsteuerung und zentralisierte Verwaltung</w:t>
      </w:r>
    </w:p>
    <w:p>
      <w:pPr>
        <w:pStyle w:val="p2Style"/>
      </w:pPr>
      <w:r>
        <w:rPr>
          <w:rStyle w:val="textStyle"/>
        </w:rPr>
        <w:t xml:space="preserve">Zwei HDMI-Anschlüsse, DisplayPort-Eingang und USB-C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Installation im Hoch- und Querformat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USB-C,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2026-05-21T17:55:37+00:00</dcterms:created>
  <dcterms:modified xsi:type="dcterms:W3CDTF">2026-05-21T17:55:37+00:00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