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DS-7608NXI-K2(D)(STD)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12VDC,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8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2 Kanälen mit 12 MP oder 4 Kanälen mit 8 MP oder 8 Kanälen mit 4 MP oder 16 Kanälen mit 1080p</w:t>
      </w:r>
    </w:p>
    <w:p>
      <w:pPr>
        <w:pStyle w:val="p2Style"/>
      </w:pPr>
      <w:r>
        <w:rPr>
          <w:rStyle w:val="textStyle"/>
        </w:rPr>
        <w:t xml:space="preserve">Eingangsbandbreite von bis zu 80 Mbit/s</w:t>
      </w:r>
    </w:p>
    <w:p>
      <w:pPr>
        <w:pStyle w:val="p2Style"/>
      </w:pPr>
      <w:r>
        <w:rPr>
          <w:rStyle w:val="textStyle"/>
        </w:rPr>
        <w:t xml:space="preserve">Einsatz der Hikvision Acusense-Technologie zur Minimierung des manuellen Aufwands und der Sicherheitskosten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2026-05-14T02:45:58+00:00</dcterms:created>
  <dcterms:modified xsi:type="dcterms:W3CDTF">2026-05-14T02:45:58+00:00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