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32-ch@1080p Dekodierkapazität</w:t>
      </w:r>
    </w:p>
    <w:p>
      <w:pPr>
        <w:pStyle w:val="p2Style"/>
      </w:pPr>
      <w:r>
        <w:rPr>
          <w:rStyle w:val="textStyle"/>
        </w:rPr>
        <w:t xml:space="preserve">Bis zu 320 MBit/s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2026-08-18T04:03:25+00:00</dcterms:created>
  <dcterms:modified xsi:type="dcterms:W3CDTF">2026-08-18T04:03:25+00:00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