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32-ch@1080p Dekodierkapazität</w:t>
      </w:r>
    </w:p>
    <w:p>
      <w:pPr>
        <w:pStyle w:val="p2Style"/>
      </w:pPr>
      <w:r>
        <w:rPr>
          <w:rStyle w:val="textStyle"/>
        </w:rPr>
        <w:t xml:space="preserve">Bis zu 320 MBit/s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2026-05-19T11:38:02+00:00</dcterms:created>
  <dcterms:modified xsi:type="dcterms:W3CDTF">2026-05-19T11:38:02+00:00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